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F56889">
        <w:rPr>
          <w:sz w:val="28"/>
        </w:rPr>
        <w:t>April 2</w:t>
      </w:r>
      <w:r w:rsidR="005E25C0">
        <w:rPr>
          <w:sz w:val="28"/>
        </w:rPr>
        <w:t>, 2018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F56889">
        <w:t>March</w:t>
      </w:r>
      <w:r w:rsidR="00B6718B">
        <w:t xml:space="preserve"> 5</w:t>
      </w:r>
      <w:r w:rsidR="00DC1B56">
        <w:t>, 2018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F56889">
        <w:t>May 7</w:t>
      </w:r>
      <w:bookmarkStart w:id="0" w:name="_GoBack"/>
      <w:bookmarkEnd w:id="0"/>
      <w:r w:rsidR="005E25C0">
        <w:t>,</w:t>
      </w:r>
      <w:r w:rsidR="00453B97">
        <w:t xml:space="preserve"> 2018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2018-03-08T15:38:00Z</dcterms:created>
  <dcterms:modified xsi:type="dcterms:W3CDTF">2018-03-08T15:38:00Z</dcterms:modified>
</cp:coreProperties>
</file>